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A9" w:rsidRPr="00307A94" w:rsidRDefault="00FA62A9" w:rsidP="00FA62A9">
      <w:pPr>
        <w:pStyle w:val="Heading1"/>
        <w:jc w:val="right"/>
        <w:rPr>
          <w:rFonts w:ascii="Times New Roman" w:hAnsi="Times New Roman" w:cs="Times New Roman"/>
          <w:sz w:val="48"/>
          <w:szCs w:val="48"/>
        </w:rPr>
      </w:pPr>
      <w:r w:rsidRPr="00307A94">
        <w:rPr>
          <w:rFonts w:ascii="Times New Roman" w:hAnsi="Times New Roman" w:cs="Times New Roman"/>
          <w:sz w:val="48"/>
          <w:szCs w:val="48"/>
        </w:rPr>
        <w:t>Learning Activity</w:t>
      </w:r>
    </w:p>
    <w:p w:rsidR="00832717" w:rsidRPr="00307A94" w:rsidRDefault="00FA62A9" w:rsidP="00832717">
      <w:pPr>
        <w:jc w:val="right"/>
        <w:rPr>
          <w:rFonts w:ascii="Times New Roman" w:hAnsi="Times New Roman" w:cs="Times New Roman"/>
          <w:b/>
          <w:sz w:val="48"/>
          <w:szCs w:val="48"/>
        </w:rPr>
      </w:pPr>
      <w:r w:rsidRPr="00307A94">
        <w:rPr>
          <w:rFonts w:ascii="Times New Roman" w:hAnsi="Times New Roman" w:cs="Times New Roman"/>
          <w:b/>
          <w:sz w:val="48"/>
          <w:szCs w:val="48"/>
        </w:rPr>
        <w:t>Designing Environments</w:t>
      </w:r>
    </w:p>
    <w:p w:rsidR="00307A94" w:rsidRPr="00307A94" w:rsidRDefault="00307A94" w:rsidP="007A360E">
      <w:pPr>
        <w:rPr>
          <w:rFonts w:ascii="Times New Roman" w:hAnsi="Times New Roman" w:cs="Times New Roman"/>
          <w:b/>
          <w:sz w:val="32"/>
          <w:szCs w:val="32"/>
        </w:rPr>
      </w:pPr>
      <w:r w:rsidRPr="00307A94">
        <w:rPr>
          <w:rFonts w:ascii="Times New Roman" w:hAnsi="Times New Roman" w:cs="Times New Roman"/>
          <w:b/>
          <w:sz w:val="32"/>
          <w:szCs w:val="32"/>
        </w:rPr>
        <w:t xml:space="preserve">How The Physical Space Can Affect </w:t>
      </w:r>
      <w:proofErr w:type="gramStart"/>
      <w:r w:rsidRPr="00307A94">
        <w:rPr>
          <w:rFonts w:ascii="Times New Roman" w:hAnsi="Times New Roman" w:cs="Times New Roman"/>
          <w:b/>
          <w:sz w:val="32"/>
          <w:szCs w:val="32"/>
        </w:rPr>
        <w:t>Behavior</w:t>
      </w:r>
      <w:proofErr w:type="gramEnd"/>
      <w:r w:rsidRPr="00307A94">
        <w:rPr>
          <w:rFonts w:ascii="Times New Roman" w:hAnsi="Times New Roman" w:cs="Times New Roman"/>
          <w:b/>
          <w:sz w:val="32"/>
          <w:szCs w:val="32"/>
        </w:rPr>
        <w:t xml:space="preserve"> </w:t>
      </w:r>
    </w:p>
    <w:p w:rsidR="00307A94" w:rsidRPr="00307A94" w:rsidRDefault="00307A94" w:rsidP="007A360E">
      <w:pPr>
        <w:rPr>
          <w:rFonts w:ascii="Times New Roman" w:hAnsi="Times New Roman" w:cs="Times New Roman"/>
          <w:sz w:val="24"/>
          <w:szCs w:val="24"/>
        </w:rPr>
      </w:pPr>
      <w:r w:rsidRPr="00307A94">
        <w:rPr>
          <w:rFonts w:ascii="Times New Roman" w:hAnsi="Times New Roman" w:cs="Times New Roman"/>
          <w:b/>
          <w:sz w:val="24"/>
          <w:szCs w:val="24"/>
        </w:rPr>
        <w:t>Activity overview</w:t>
      </w:r>
      <w:r w:rsidRPr="00307A94">
        <w:rPr>
          <w:rFonts w:ascii="Times New Roman" w:hAnsi="Times New Roman" w:cs="Times New Roman"/>
          <w:sz w:val="24"/>
          <w:szCs w:val="24"/>
        </w:rPr>
        <w:t xml:space="preserve">: Participants examine the relationship between the physical environment and behavior, then brainstorm possible changes to the space that address challenges. </w:t>
      </w:r>
    </w:p>
    <w:p w:rsidR="007A360E" w:rsidRPr="00307A94" w:rsidRDefault="00307A94" w:rsidP="007A360E">
      <w:pPr>
        <w:rPr>
          <w:rFonts w:ascii="Times New Roman" w:hAnsi="Times New Roman" w:cs="Times New Roman"/>
          <w:sz w:val="24"/>
          <w:szCs w:val="24"/>
        </w:rPr>
      </w:pPr>
      <w:r w:rsidRPr="00307A94">
        <w:rPr>
          <w:rFonts w:ascii="Times New Roman" w:hAnsi="Times New Roman" w:cs="Times New Roman"/>
          <w:b/>
          <w:sz w:val="24"/>
          <w:szCs w:val="24"/>
        </w:rPr>
        <w:t>Directions</w:t>
      </w:r>
      <w:r w:rsidRPr="00307A94">
        <w:rPr>
          <w:rFonts w:ascii="Times New Roman" w:hAnsi="Times New Roman" w:cs="Times New Roman"/>
          <w:sz w:val="24"/>
          <w:szCs w:val="24"/>
        </w:rPr>
        <w:t>: In the left column, participants brainstorm a list of behavior challenges that relate to space. In the middle column, explain how the physical space might contribute to that behavior. Finally, in the right column, record ways that changes could be made to the environment to address the behavior challenge.</w:t>
      </w:r>
    </w:p>
    <w:tbl>
      <w:tblPr>
        <w:tblStyle w:val="TableGrid"/>
        <w:tblW w:w="10780" w:type="dxa"/>
        <w:tblInd w:w="10" w:type="dxa"/>
        <w:tblCellMar>
          <w:top w:w="122" w:type="dxa"/>
          <w:left w:w="180" w:type="dxa"/>
          <w:right w:w="115" w:type="dxa"/>
        </w:tblCellMar>
        <w:tblLook w:val="04A0" w:firstRow="1" w:lastRow="0" w:firstColumn="1" w:lastColumn="0" w:noHBand="0" w:noVBand="1"/>
        <w:tblCaption w:val="How the Physical Space Can Affect Behavior "/>
        <w:tblDescription w:val="Table has three headings: Behavior Challenges, Tie to the physical spce, and Change to address the challenge. "/>
      </w:tblPr>
      <w:tblGrid>
        <w:gridCol w:w="3594"/>
        <w:gridCol w:w="3593"/>
        <w:gridCol w:w="3593"/>
      </w:tblGrid>
      <w:tr w:rsidR="00450D88" w:rsidRPr="00450D88" w:rsidTr="00450D88">
        <w:trPr>
          <w:trHeight w:val="525"/>
          <w:tblHeader/>
        </w:trPr>
        <w:tc>
          <w:tcPr>
            <w:tcW w:w="3593" w:type="dxa"/>
            <w:tcBorders>
              <w:top w:val="single" w:sz="8" w:space="0" w:color="000000"/>
              <w:left w:val="single" w:sz="8" w:space="0" w:color="000000"/>
              <w:bottom w:val="single" w:sz="8" w:space="0" w:color="000000"/>
              <w:right w:val="single" w:sz="8" w:space="0" w:color="000000"/>
            </w:tcBorders>
            <w:shd w:val="clear" w:color="auto" w:fill="00A94F"/>
            <w:vAlign w:val="center"/>
          </w:tcPr>
          <w:p w:rsidR="00450D88" w:rsidRPr="00450D88" w:rsidRDefault="00450D88" w:rsidP="0001202D">
            <w:pPr>
              <w:rPr>
                <w:rFonts w:ascii="Times New Roman" w:hAnsi="Times New Roman" w:cs="Times New Roman"/>
                <w:sz w:val="24"/>
                <w:szCs w:val="24"/>
              </w:rPr>
            </w:pPr>
            <w:r w:rsidRPr="00450D88">
              <w:rPr>
                <w:rFonts w:ascii="Times New Roman" w:hAnsi="Times New Roman" w:cs="Times New Roman"/>
                <w:b/>
                <w:color w:val="FFFFFF"/>
                <w:sz w:val="24"/>
                <w:szCs w:val="24"/>
              </w:rPr>
              <w:t>Behavior challenges</w:t>
            </w:r>
          </w:p>
        </w:tc>
        <w:tc>
          <w:tcPr>
            <w:tcW w:w="3593" w:type="dxa"/>
            <w:tcBorders>
              <w:top w:val="single" w:sz="8" w:space="0" w:color="000000"/>
              <w:left w:val="single" w:sz="8" w:space="0" w:color="000000"/>
              <w:bottom w:val="single" w:sz="8" w:space="0" w:color="000000"/>
              <w:right w:val="single" w:sz="8" w:space="0" w:color="000000"/>
            </w:tcBorders>
            <w:shd w:val="clear" w:color="auto" w:fill="00A94F"/>
            <w:vAlign w:val="center"/>
          </w:tcPr>
          <w:p w:rsidR="00450D88" w:rsidRPr="00450D88" w:rsidRDefault="00450D88" w:rsidP="0001202D">
            <w:pPr>
              <w:rPr>
                <w:rFonts w:ascii="Times New Roman" w:hAnsi="Times New Roman" w:cs="Times New Roman"/>
                <w:sz w:val="24"/>
                <w:szCs w:val="24"/>
              </w:rPr>
            </w:pPr>
            <w:r w:rsidRPr="00450D88">
              <w:rPr>
                <w:rFonts w:ascii="Times New Roman" w:hAnsi="Times New Roman" w:cs="Times New Roman"/>
                <w:b/>
                <w:color w:val="FFFFFF"/>
                <w:sz w:val="24"/>
                <w:szCs w:val="24"/>
              </w:rPr>
              <w:t>Tie to the physical space</w:t>
            </w:r>
          </w:p>
        </w:tc>
        <w:tc>
          <w:tcPr>
            <w:tcW w:w="3593" w:type="dxa"/>
            <w:tcBorders>
              <w:top w:val="single" w:sz="8" w:space="0" w:color="000000"/>
              <w:left w:val="single" w:sz="8" w:space="0" w:color="000000"/>
              <w:bottom w:val="single" w:sz="8" w:space="0" w:color="000000"/>
              <w:right w:val="single" w:sz="8" w:space="0" w:color="000000"/>
            </w:tcBorders>
            <w:shd w:val="clear" w:color="auto" w:fill="00A94F"/>
            <w:vAlign w:val="center"/>
          </w:tcPr>
          <w:p w:rsidR="00450D88" w:rsidRPr="00450D88" w:rsidRDefault="00450D88" w:rsidP="0001202D">
            <w:pPr>
              <w:rPr>
                <w:rFonts w:ascii="Times New Roman" w:hAnsi="Times New Roman" w:cs="Times New Roman"/>
                <w:sz w:val="24"/>
                <w:szCs w:val="24"/>
              </w:rPr>
            </w:pPr>
            <w:r w:rsidRPr="00450D88">
              <w:rPr>
                <w:rFonts w:ascii="Times New Roman" w:hAnsi="Times New Roman" w:cs="Times New Roman"/>
                <w:b/>
                <w:color w:val="FFFFFF"/>
                <w:sz w:val="24"/>
                <w:szCs w:val="24"/>
              </w:rPr>
              <w:t>Change to address challenge</w:t>
            </w:r>
          </w:p>
        </w:tc>
      </w:tr>
      <w:tr w:rsidR="00450D88" w:rsidRPr="00450D88" w:rsidTr="00450D88">
        <w:trPr>
          <w:trHeight w:val="7150"/>
        </w:trPr>
        <w:tc>
          <w:tcPr>
            <w:tcW w:w="3593" w:type="dxa"/>
            <w:tcBorders>
              <w:top w:val="single" w:sz="8" w:space="0" w:color="000000"/>
              <w:left w:val="single" w:sz="8" w:space="0" w:color="000000"/>
              <w:bottom w:val="single" w:sz="8" w:space="0" w:color="000000"/>
              <w:right w:val="single" w:sz="8" w:space="0" w:color="000000"/>
            </w:tcBorders>
          </w:tcPr>
          <w:p w:rsidR="00450D88" w:rsidRPr="00450D88" w:rsidRDefault="00450D88" w:rsidP="0001202D">
            <w:pPr>
              <w:rPr>
                <w:rFonts w:ascii="Times New Roman" w:hAnsi="Times New Roman" w:cs="Times New Roman"/>
                <w:color w:val="auto"/>
                <w:sz w:val="24"/>
                <w:szCs w:val="24"/>
              </w:rPr>
            </w:pPr>
            <w:r w:rsidRPr="00450D88">
              <w:rPr>
                <w:rFonts w:ascii="Times New Roman" w:hAnsi="Times New Roman" w:cs="Times New Roman"/>
                <w:color w:val="auto"/>
                <w:sz w:val="24"/>
                <w:szCs w:val="24"/>
              </w:rPr>
              <w:t>Running</w:t>
            </w:r>
          </w:p>
        </w:tc>
        <w:tc>
          <w:tcPr>
            <w:tcW w:w="3593" w:type="dxa"/>
            <w:tcBorders>
              <w:top w:val="single" w:sz="8" w:space="0" w:color="000000"/>
              <w:left w:val="single" w:sz="8" w:space="0" w:color="000000"/>
              <w:bottom w:val="single" w:sz="8" w:space="0" w:color="000000"/>
              <w:right w:val="single" w:sz="8" w:space="0" w:color="000000"/>
            </w:tcBorders>
          </w:tcPr>
          <w:p w:rsidR="00450D88" w:rsidRPr="00450D88" w:rsidRDefault="00450D88" w:rsidP="0001202D">
            <w:pPr>
              <w:rPr>
                <w:rFonts w:ascii="Times New Roman" w:hAnsi="Times New Roman" w:cs="Times New Roman"/>
                <w:color w:val="auto"/>
                <w:sz w:val="24"/>
                <w:szCs w:val="24"/>
              </w:rPr>
            </w:pPr>
            <w:r w:rsidRPr="00450D88">
              <w:rPr>
                <w:rFonts w:ascii="Times New Roman" w:hAnsi="Times New Roman" w:cs="Times New Roman"/>
                <w:color w:val="auto"/>
                <w:sz w:val="24"/>
                <w:szCs w:val="24"/>
              </w:rPr>
              <w:t>Large open spaces in the classroom without physical barriers</w:t>
            </w:r>
          </w:p>
        </w:tc>
        <w:tc>
          <w:tcPr>
            <w:tcW w:w="3593" w:type="dxa"/>
            <w:tcBorders>
              <w:top w:val="single" w:sz="8" w:space="0" w:color="000000"/>
              <w:left w:val="single" w:sz="8" w:space="0" w:color="000000"/>
              <w:bottom w:val="single" w:sz="8" w:space="0" w:color="000000"/>
              <w:right w:val="single" w:sz="8" w:space="0" w:color="000000"/>
            </w:tcBorders>
          </w:tcPr>
          <w:p w:rsidR="00450D88" w:rsidRPr="00450D88" w:rsidRDefault="00450D88" w:rsidP="0001202D">
            <w:pPr>
              <w:rPr>
                <w:rFonts w:ascii="Times New Roman" w:hAnsi="Times New Roman" w:cs="Times New Roman"/>
                <w:color w:val="auto"/>
                <w:sz w:val="24"/>
                <w:szCs w:val="24"/>
              </w:rPr>
            </w:pPr>
            <w:r w:rsidRPr="00450D88">
              <w:rPr>
                <w:rFonts w:ascii="Times New Roman" w:hAnsi="Times New Roman" w:cs="Times New Roman"/>
                <w:color w:val="auto"/>
                <w:sz w:val="24"/>
                <w:szCs w:val="24"/>
              </w:rPr>
              <w:t>Break up the long expanses with turns and furniture.</w:t>
            </w:r>
          </w:p>
        </w:tc>
      </w:tr>
    </w:tbl>
    <w:p w:rsidR="00DF3D4A" w:rsidRPr="007519BD" w:rsidRDefault="004279B9" w:rsidP="00832717">
      <w:pPr>
        <w:tabs>
          <w:tab w:val="center" w:pos="10129"/>
          <w:tab w:val="right" w:pos="10996"/>
        </w:tabs>
        <w:spacing w:after="0"/>
        <w:rPr>
          <w:rFonts w:ascii="Times New Roman" w:hAnsi="Times New Roman" w:cs="Times New Roman"/>
          <w:sz w:val="24"/>
          <w:szCs w:val="24"/>
        </w:rPr>
      </w:pPr>
      <w:bookmarkStart w:id="0" w:name="_GoBack"/>
      <w:bookmarkEnd w:id="0"/>
      <w:r w:rsidRPr="007519BD">
        <w:rPr>
          <w:rFonts w:ascii="Times New Roman" w:hAnsi="Times New Roman" w:cs="Times New Roman"/>
          <w:sz w:val="24"/>
          <w:szCs w:val="24"/>
        </w:rPr>
        <w:tab/>
      </w:r>
    </w:p>
    <w:sectPr w:rsidR="00DF3D4A" w:rsidRPr="007519BD" w:rsidSect="007519BD">
      <w:footerReference w:type="default" r:id="rId7"/>
      <w:footerReference w:type="first" r:id="rId8"/>
      <w:pgSz w:w="12240" w:h="15840"/>
      <w:pgMar w:top="511" w:right="524" w:bottom="439"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D6" w:rsidRDefault="00671BD6" w:rsidP="00832717">
      <w:pPr>
        <w:spacing w:after="0" w:line="240" w:lineRule="auto"/>
      </w:pPr>
      <w:r>
        <w:separator/>
      </w:r>
    </w:p>
  </w:endnote>
  <w:endnote w:type="continuationSeparator" w:id="0">
    <w:p w:rsidR="00671BD6" w:rsidRDefault="00671BD6" w:rsidP="0083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93" w:rsidRDefault="00C53993" w:rsidP="00832717">
    <w:pPr>
      <w:spacing w:after="0"/>
      <w:ind w:left="-5" w:hanging="10"/>
      <w:rPr>
        <w:rFonts w:ascii="Times New Roman" w:hAnsi="Times New Roman" w:cs="Times New Roman"/>
        <w:sz w:val="24"/>
        <w:szCs w:val="24"/>
      </w:rPr>
    </w:pPr>
    <w:r>
      <w:rPr>
        <w:noProof/>
      </w:rPr>
      <w:drawing>
        <wp:inline distT="0" distB="0" distL="0" distR="0" wp14:anchorId="4F3F6D36" wp14:editId="25EFF2CF">
          <wp:extent cx="1676400" cy="619125"/>
          <wp:effectExtent l="0" t="0" r="0" b="9525"/>
          <wp:docPr id="1" name="Picture 1" descr="NCQ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6400" cy="619125"/>
                  </a:xfrm>
                  <a:prstGeom prst="rect">
                    <a:avLst/>
                  </a:prstGeom>
                </pic:spPr>
              </pic:pic>
            </a:graphicData>
          </a:graphic>
        </wp:inline>
      </w:drawing>
    </w:r>
  </w:p>
  <w:p w:rsidR="00832717" w:rsidRPr="00832717" w:rsidRDefault="00832717" w:rsidP="00832717">
    <w:pPr>
      <w:spacing w:after="0"/>
      <w:ind w:left="-5" w:hanging="10"/>
      <w:rPr>
        <w:rFonts w:ascii="Times New Roman" w:hAnsi="Times New Roman" w:cs="Times New Roman"/>
        <w:sz w:val="24"/>
        <w:szCs w:val="24"/>
      </w:rPr>
    </w:pPr>
    <w:r w:rsidRPr="00832717">
      <w:rPr>
        <w:rFonts w:ascii="Times New Roman" w:hAnsi="Times New Roman" w:cs="Times New Roman"/>
        <w:sz w:val="24"/>
        <w:szCs w:val="24"/>
      </w:rPr>
      <w:t xml:space="preserve">For more Information, contact us at: </w:t>
    </w:r>
    <w:r w:rsidRPr="00832717">
      <w:rPr>
        <w:rFonts w:ascii="Times New Roman" w:hAnsi="Times New Roman" w:cs="Times New Roman"/>
        <w:b/>
        <w:sz w:val="24"/>
        <w:szCs w:val="24"/>
      </w:rPr>
      <w:t xml:space="preserve">ncqtl@uw.edu </w:t>
    </w:r>
    <w:r w:rsidRPr="00832717">
      <w:rPr>
        <w:rFonts w:ascii="Times New Roman" w:hAnsi="Times New Roman" w:cs="Times New Roman"/>
        <w:sz w:val="24"/>
        <w:szCs w:val="24"/>
      </w:rPr>
      <w:t xml:space="preserve">or </w:t>
    </w:r>
    <w:r w:rsidRPr="00832717">
      <w:rPr>
        <w:rFonts w:ascii="Times New Roman" w:hAnsi="Times New Roman" w:cs="Times New Roman"/>
        <w:b/>
        <w:sz w:val="24"/>
        <w:szCs w:val="24"/>
      </w:rPr>
      <w:t>877-731-0764</w:t>
    </w:r>
  </w:p>
  <w:p w:rsidR="00832717" w:rsidRDefault="00832717" w:rsidP="00832717">
    <w:pPr>
      <w:spacing w:after="0"/>
      <w:ind w:left="-5" w:hanging="10"/>
      <w:rPr>
        <w:rFonts w:ascii="Times New Roman" w:hAnsi="Times New Roman" w:cs="Times New Roman"/>
        <w:sz w:val="24"/>
        <w:szCs w:val="24"/>
      </w:rPr>
    </w:pPr>
  </w:p>
  <w:p w:rsidR="00832717" w:rsidRPr="007519BD" w:rsidRDefault="00832717" w:rsidP="007519BD">
    <w:pPr>
      <w:spacing w:after="0"/>
      <w:ind w:left="-5" w:hanging="10"/>
      <w:rPr>
        <w:rFonts w:ascii="Times New Roman" w:hAnsi="Times New Roman" w:cs="Times New Roman"/>
        <w:sz w:val="24"/>
        <w:szCs w:val="24"/>
      </w:rPr>
    </w:pPr>
    <w:r w:rsidRPr="00832717">
      <w:rPr>
        <w:rFonts w:ascii="Times New Roman" w:hAnsi="Times New Roman" w:cs="Times New Roman"/>
        <w:sz w:val="24"/>
        <w:szCs w:val="24"/>
      </w:rPr>
      <w:t xml:space="preserve">This document was prepared under Grant #90HC0002 for the </w:t>
    </w:r>
    <w:proofErr w:type="spellStart"/>
    <w:r w:rsidRPr="00832717">
      <w:rPr>
        <w:rFonts w:ascii="Times New Roman" w:hAnsi="Times New Roman" w:cs="Times New Roman"/>
        <w:sz w:val="24"/>
        <w:szCs w:val="24"/>
      </w:rPr>
      <w:t>u.s.</w:t>
    </w:r>
    <w:proofErr w:type="spellEnd"/>
    <w:r w:rsidRPr="00832717">
      <w:rPr>
        <w:rFonts w:ascii="Times New Roman" w:hAnsi="Times New Roman" w:cs="Times New Roman"/>
        <w:sz w:val="24"/>
        <w:szCs w:val="24"/>
      </w:rPr>
      <w:t xml:space="preserve"> Department of Health and Human services, Administration for Children and Families, Office of Head start, by the National Center on Quality Teaching and Learning.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88" w:rsidRDefault="00450D88" w:rsidP="00450D88">
    <w:pPr>
      <w:spacing w:after="0"/>
      <w:ind w:left="-5" w:hanging="10"/>
      <w:rPr>
        <w:rFonts w:ascii="Times New Roman" w:hAnsi="Times New Roman" w:cs="Times New Roman"/>
        <w:sz w:val="24"/>
        <w:szCs w:val="24"/>
      </w:rPr>
    </w:pPr>
    <w:r>
      <w:rPr>
        <w:noProof/>
      </w:rPr>
      <w:drawing>
        <wp:inline distT="0" distB="0" distL="0" distR="0" wp14:anchorId="53F7C9CC" wp14:editId="64056CD3">
          <wp:extent cx="1676400" cy="619125"/>
          <wp:effectExtent l="0" t="0" r="0" b="9525"/>
          <wp:docPr id="2" name="Picture 2" descr="NCQ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6400" cy="619125"/>
                  </a:xfrm>
                  <a:prstGeom prst="rect">
                    <a:avLst/>
                  </a:prstGeom>
                </pic:spPr>
              </pic:pic>
            </a:graphicData>
          </a:graphic>
        </wp:inline>
      </w:drawing>
    </w:r>
  </w:p>
  <w:p w:rsidR="00450D88" w:rsidRPr="00832717" w:rsidRDefault="00450D88" w:rsidP="00450D88">
    <w:pPr>
      <w:spacing w:after="0"/>
      <w:ind w:left="-5" w:hanging="10"/>
      <w:rPr>
        <w:rFonts w:ascii="Times New Roman" w:hAnsi="Times New Roman" w:cs="Times New Roman"/>
        <w:sz w:val="24"/>
        <w:szCs w:val="24"/>
      </w:rPr>
    </w:pPr>
    <w:r w:rsidRPr="00832717">
      <w:rPr>
        <w:rFonts w:ascii="Times New Roman" w:hAnsi="Times New Roman" w:cs="Times New Roman"/>
        <w:sz w:val="24"/>
        <w:szCs w:val="24"/>
      </w:rPr>
      <w:t xml:space="preserve">For more Information, contact us at: </w:t>
    </w:r>
    <w:r w:rsidRPr="00832717">
      <w:rPr>
        <w:rFonts w:ascii="Times New Roman" w:hAnsi="Times New Roman" w:cs="Times New Roman"/>
        <w:b/>
        <w:sz w:val="24"/>
        <w:szCs w:val="24"/>
      </w:rPr>
      <w:t xml:space="preserve">ncqtl@uw.edu </w:t>
    </w:r>
    <w:r w:rsidRPr="00832717">
      <w:rPr>
        <w:rFonts w:ascii="Times New Roman" w:hAnsi="Times New Roman" w:cs="Times New Roman"/>
        <w:sz w:val="24"/>
        <w:szCs w:val="24"/>
      </w:rPr>
      <w:t xml:space="preserve">or </w:t>
    </w:r>
    <w:r w:rsidRPr="00832717">
      <w:rPr>
        <w:rFonts w:ascii="Times New Roman" w:hAnsi="Times New Roman" w:cs="Times New Roman"/>
        <w:b/>
        <w:sz w:val="24"/>
        <w:szCs w:val="24"/>
      </w:rPr>
      <w:t>877-731-0764</w:t>
    </w:r>
  </w:p>
  <w:p w:rsidR="00450D88" w:rsidRDefault="00450D88" w:rsidP="00450D88">
    <w:pPr>
      <w:spacing w:after="0"/>
      <w:ind w:left="-5" w:hanging="10"/>
      <w:rPr>
        <w:rFonts w:ascii="Times New Roman" w:hAnsi="Times New Roman" w:cs="Times New Roman"/>
        <w:sz w:val="24"/>
        <w:szCs w:val="24"/>
      </w:rPr>
    </w:pPr>
  </w:p>
  <w:p w:rsidR="00C53993" w:rsidRDefault="00450D88" w:rsidP="00450D88">
    <w:pPr>
      <w:spacing w:after="0"/>
      <w:ind w:left="-5" w:hanging="10"/>
    </w:pPr>
    <w:r w:rsidRPr="00832717">
      <w:rPr>
        <w:rFonts w:ascii="Times New Roman" w:hAnsi="Times New Roman" w:cs="Times New Roman"/>
        <w:sz w:val="24"/>
        <w:szCs w:val="24"/>
      </w:rPr>
      <w:t xml:space="preserve">This document was prepared under Grant #90HC0002 for the </w:t>
    </w:r>
    <w:proofErr w:type="spellStart"/>
    <w:r w:rsidRPr="00832717">
      <w:rPr>
        <w:rFonts w:ascii="Times New Roman" w:hAnsi="Times New Roman" w:cs="Times New Roman"/>
        <w:sz w:val="24"/>
        <w:szCs w:val="24"/>
      </w:rPr>
      <w:t>u.s.</w:t>
    </w:r>
    <w:proofErr w:type="spellEnd"/>
    <w:r w:rsidRPr="00832717">
      <w:rPr>
        <w:rFonts w:ascii="Times New Roman" w:hAnsi="Times New Roman" w:cs="Times New Roman"/>
        <w:sz w:val="24"/>
        <w:szCs w:val="24"/>
      </w:rPr>
      <w:t xml:space="preserve"> Department of Health and Human services, Administration for Children and Families, Office of Head start, by the National Center on Quality Teaching and Learning.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D6" w:rsidRDefault="00671BD6" w:rsidP="00832717">
      <w:pPr>
        <w:spacing w:after="0" w:line="240" w:lineRule="auto"/>
      </w:pPr>
      <w:r>
        <w:separator/>
      </w:r>
    </w:p>
  </w:footnote>
  <w:footnote w:type="continuationSeparator" w:id="0">
    <w:p w:rsidR="00671BD6" w:rsidRDefault="00671BD6" w:rsidP="00832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C5650"/>
    <w:multiLevelType w:val="hybridMultilevel"/>
    <w:tmpl w:val="FF1ED694"/>
    <w:lvl w:ilvl="0" w:tplc="917EF6D4">
      <w:start w:val="1"/>
      <w:numFmt w:val="bullet"/>
      <w:lvlText w:val="•"/>
      <w:lvlJc w:val="left"/>
      <w:pPr>
        <w:ind w:left="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C078E8">
      <w:start w:val="1"/>
      <w:numFmt w:val="bullet"/>
      <w:lvlText w:val="o"/>
      <w:lvlJc w:val="left"/>
      <w:pPr>
        <w:ind w:left="1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F429C4">
      <w:start w:val="1"/>
      <w:numFmt w:val="bullet"/>
      <w:lvlText w:val="▪"/>
      <w:lvlJc w:val="left"/>
      <w:pPr>
        <w:ind w:left="1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D2C5CE">
      <w:start w:val="1"/>
      <w:numFmt w:val="bullet"/>
      <w:lvlText w:val="•"/>
      <w:lvlJc w:val="left"/>
      <w:pPr>
        <w:ind w:left="2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AC3FD4">
      <w:start w:val="1"/>
      <w:numFmt w:val="bullet"/>
      <w:lvlText w:val="o"/>
      <w:lvlJc w:val="left"/>
      <w:pPr>
        <w:ind w:left="3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702248">
      <w:start w:val="1"/>
      <w:numFmt w:val="bullet"/>
      <w:lvlText w:val="▪"/>
      <w:lvlJc w:val="left"/>
      <w:pPr>
        <w:ind w:left="4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09E6E">
      <w:start w:val="1"/>
      <w:numFmt w:val="bullet"/>
      <w:lvlText w:val="•"/>
      <w:lvlJc w:val="left"/>
      <w:pPr>
        <w:ind w:left="4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A09864">
      <w:start w:val="1"/>
      <w:numFmt w:val="bullet"/>
      <w:lvlText w:val="o"/>
      <w:lvlJc w:val="left"/>
      <w:pPr>
        <w:ind w:left="5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658C2">
      <w:start w:val="1"/>
      <w:numFmt w:val="bullet"/>
      <w:lvlText w:val="▪"/>
      <w:lvlJc w:val="left"/>
      <w:pPr>
        <w:ind w:left="6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4A"/>
    <w:rsid w:val="00307A94"/>
    <w:rsid w:val="004279B9"/>
    <w:rsid w:val="00450D88"/>
    <w:rsid w:val="00671BD6"/>
    <w:rsid w:val="007519BD"/>
    <w:rsid w:val="007A360E"/>
    <w:rsid w:val="00832717"/>
    <w:rsid w:val="00C53993"/>
    <w:rsid w:val="00DF3D4A"/>
    <w:rsid w:val="00FA62A9"/>
    <w:rsid w:val="00FA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F4A26"/>
  <w15:docId w15:val="{6FC5041E-8700-4B8B-9D20-84673384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6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7A360E"/>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83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717"/>
    <w:rPr>
      <w:rFonts w:ascii="Calibri" w:eastAsia="Calibri" w:hAnsi="Calibri" w:cs="Calibri"/>
      <w:color w:val="000000"/>
    </w:rPr>
  </w:style>
  <w:style w:type="paragraph" w:styleId="Footer">
    <w:name w:val="footer"/>
    <w:basedOn w:val="Normal"/>
    <w:link w:val="FooterChar"/>
    <w:uiPriority w:val="99"/>
    <w:unhideWhenUsed/>
    <w:rsid w:val="0083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71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Learning Activity</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Activity</dc:title>
  <dc:subject/>
  <dc:creator>U.S. Department of Health and Human Services</dc:creator>
  <cp:keywords/>
  <cp:lastModifiedBy>Jacqueline Kilkeary</cp:lastModifiedBy>
  <cp:revision>3</cp:revision>
  <dcterms:created xsi:type="dcterms:W3CDTF">2019-05-16T17:42:00Z</dcterms:created>
  <dcterms:modified xsi:type="dcterms:W3CDTF">2019-05-16T17:46:00Z</dcterms:modified>
</cp:coreProperties>
</file>